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F62C" w14:textId="77777777" w:rsidR="004C1726" w:rsidRDefault="004C1726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68AB527" w14:textId="77777777" w:rsidR="004C1726" w:rsidRDefault="004C1726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254515E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7C23F77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099A8A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57A5F98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2B244A7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C008CDE" w14:textId="77777777" w:rsidR="005165A2" w:rsidRDefault="005165A2" w:rsidP="005165A2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2C28DE17" w14:textId="77777777" w:rsidR="003F73C5" w:rsidRPr="003F73C5" w:rsidRDefault="003F73C5" w:rsidP="00B04DDF">
      <w:pPr>
        <w:tabs>
          <w:tab w:val="left" w:pos="10260"/>
        </w:tabs>
        <w:rPr>
          <w:rFonts w:ascii="Times New Roman" w:hAnsi="Times New Roman"/>
          <w:b/>
          <w:sz w:val="28"/>
          <w:szCs w:val="28"/>
          <w:lang w:val="sq-AL"/>
        </w:rPr>
      </w:pPr>
    </w:p>
    <w:p w14:paraId="36DCF019" w14:textId="77777777" w:rsidR="003516F1" w:rsidRPr="003F73C5" w:rsidRDefault="003516F1" w:rsidP="005165A2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F73C5">
        <w:rPr>
          <w:rFonts w:ascii="Times New Roman" w:hAnsi="Times New Roman"/>
          <w:b/>
          <w:sz w:val="28"/>
          <w:szCs w:val="28"/>
          <w:lang w:val="sq-AL"/>
        </w:rPr>
        <w:t>MINISTRIA E INFRASTRUKTURËS DHE ENERGJISË</w:t>
      </w:r>
    </w:p>
    <w:p w14:paraId="54F3BD75" w14:textId="77777777" w:rsidR="003F73C5" w:rsidRPr="00966191" w:rsidRDefault="003F73C5" w:rsidP="0051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</w:p>
    <w:p w14:paraId="25B80B32" w14:textId="77777777" w:rsidR="000E0539" w:rsidRPr="003F73C5" w:rsidRDefault="000E0539" w:rsidP="0051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3F73C5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REGJISTRI I KËRKESAVE DHE PËRGJIGJEVE</w:t>
      </w:r>
    </w:p>
    <w:p w14:paraId="209240E7" w14:textId="0630248A" w:rsidR="009C6077" w:rsidRPr="003F73C5" w:rsidRDefault="00E430BC" w:rsidP="005165A2">
      <w:pPr>
        <w:tabs>
          <w:tab w:val="left" w:pos="1530"/>
          <w:tab w:val="center" w:pos="4680"/>
          <w:tab w:val="left" w:pos="10260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3451C1">
        <w:rPr>
          <w:rFonts w:ascii="Times New Roman" w:hAnsi="Times New Roman" w:cs="Times New Roman"/>
          <w:b/>
          <w:sz w:val="28"/>
          <w:szCs w:val="28"/>
          <w:lang w:val="sq-AL"/>
        </w:rPr>
        <w:t>Prill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– </w:t>
      </w:r>
      <w:r w:rsidR="003451C1">
        <w:rPr>
          <w:rFonts w:ascii="Times New Roman" w:hAnsi="Times New Roman" w:cs="Times New Roman"/>
          <w:b/>
          <w:sz w:val="28"/>
          <w:szCs w:val="28"/>
          <w:lang w:val="sq-AL"/>
        </w:rPr>
        <w:t>Qershor</w:t>
      </w:r>
      <w:r w:rsidR="009C6077" w:rsidRPr="003F73C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AD6633" w:rsidRPr="003F73C5">
        <w:rPr>
          <w:rFonts w:ascii="Times New Roman" w:hAnsi="Times New Roman" w:cs="Times New Roman"/>
          <w:b/>
          <w:sz w:val="28"/>
          <w:szCs w:val="28"/>
          <w:lang w:val="sq-AL"/>
        </w:rPr>
        <w:t>202</w:t>
      </w:r>
      <w:r w:rsidR="00083112">
        <w:rPr>
          <w:rFonts w:ascii="Times New Roman" w:hAnsi="Times New Roman" w:cs="Times New Roman"/>
          <w:b/>
          <w:sz w:val="28"/>
          <w:szCs w:val="28"/>
          <w:lang w:val="sq-AL"/>
        </w:rPr>
        <w:t>3</w:t>
      </w:r>
    </w:p>
    <w:tbl>
      <w:tblPr>
        <w:tblStyle w:val="TableGrid1"/>
        <w:tblpPr w:leftFromText="180" w:rightFromText="180" w:vertAnchor="text" w:horzAnchor="margin" w:tblpXSpec="center" w:tblpY="-1439"/>
        <w:tblW w:w="12055" w:type="dxa"/>
        <w:tblLayout w:type="fixed"/>
        <w:tblLook w:val="04A0" w:firstRow="1" w:lastRow="0" w:firstColumn="1" w:lastColumn="0" w:noHBand="0" w:noVBand="1"/>
      </w:tblPr>
      <w:tblGrid>
        <w:gridCol w:w="1075"/>
        <w:gridCol w:w="1350"/>
        <w:gridCol w:w="2387"/>
        <w:gridCol w:w="1392"/>
        <w:gridCol w:w="3402"/>
        <w:gridCol w:w="1279"/>
        <w:gridCol w:w="1170"/>
      </w:tblGrid>
      <w:tr w:rsidR="009C6077" w:rsidRPr="00AF6FE4" w14:paraId="7E81D93E" w14:textId="77777777" w:rsidTr="00B04DDF">
        <w:trPr>
          <w:trHeight w:val="546"/>
        </w:trPr>
        <w:tc>
          <w:tcPr>
            <w:tcW w:w="1075" w:type="dxa"/>
            <w:shd w:val="clear" w:color="auto" w:fill="9CC2E5" w:themeFill="accent1" w:themeFillTint="99"/>
          </w:tcPr>
          <w:p w14:paraId="25D09930" w14:textId="77777777" w:rsidR="009C6077" w:rsidRPr="00AF6FE4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Nr.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Rendor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4E9193EA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387" w:type="dxa"/>
            <w:shd w:val="clear" w:color="auto" w:fill="9CC2E5" w:themeFill="accent1" w:themeFillTint="99"/>
          </w:tcPr>
          <w:p w14:paraId="41E44ACE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Objekti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</w:p>
          <w:p w14:paraId="6E168FA8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22387" w14:textId="77777777" w:rsidR="009C6077" w:rsidRPr="00AF6FE4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9CC2E5" w:themeFill="accent1" w:themeFillTint="99"/>
          </w:tcPr>
          <w:p w14:paraId="6B69E9DA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3402" w:type="dxa"/>
            <w:shd w:val="clear" w:color="auto" w:fill="9CC2E5" w:themeFill="accent1" w:themeFillTint="99"/>
          </w:tcPr>
          <w:p w14:paraId="593D3B1E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Përgjigje</w:t>
            </w:r>
            <w:proofErr w:type="spellEnd"/>
          </w:p>
          <w:p w14:paraId="1D11CF88" w14:textId="77777777" w:rsidR="009C6077" w:rsidRPr="00AF6FE4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9CC2E5" w:themeFill="accent1" w:themeFillTint="99"/>
          </w:tcPr>
          <w:p w14:paraId="4F5361E2" w14:textId="77777777" w:rsidR="009C6077" w:rsidRPr="00AF6FE4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FE4">
              <w:rPr>
                <w:rFonts w:ascii="Times New Roman" w:hAnsi="Times New Roman" w:cs="Times New Roman"/>
                <w:sz w:val="24"/>
                <w:szCs w:val="24"/>
              </w:rPr>
              <w:t>Mënyra</w:t>
            </w:r>
            <w:proofErr w:type="spellEnd"/>
            <w:r w:rsidRPr="00AF6FE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  <w:sz w:val="24"/>
                <w:szCs w:val="24"/>
              </w:rPr>
              <w:t>përfundimit</w:t>
            </w:r>
            <w:proofErr w:type="spellEnd"/>
            <w:r w:rsidRPr="00AF6FE4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170" w:type="dxa"/>
            <w:shd w:val="clear" w:color="auto" w:fill="9CC2E5" w:themeFill="accent1" w:themeFillTint="99"/>
          </w:tcPr>
          <w:p w14:paraId="4CDEEDE6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E4">
              <w:rPr>
                <w:rFonts w:ascii="Times New Roman" w:eastAsia="Times New Roman" w:hAnsi="Times New Roman" w:cs="Times New Roman"/>
                <w:sz w:val="24"/>
                <w:szCs w:val="24"/>
              </w:rPr>
              <w:t>Tarifa</w:t>
            </w:r>
          </w:p>
          <w:p w14:paraId="1F595F62" w14:textId="77777777" w:rsidR="009C6077" w:rsidRPr="00AF6FE4" w:rsidRDefault="009C6077" w:rsidP="009C6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CE960" w14:textId="77777777" w:rsidR="009C6077" w:rsidRPr="00AF6FE4" w:rsidRDefault="009C6077" w:rsidP="009C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DF" w:rsidRPr="00AF6FE4" w14:paraId="732AC1B7" w14:textId="77777777" w:rsidTr="00B04DDF">
        <w:trPr>
          <w:trHeight w:val="348"/>
        </w:trPr>
        <w:tc>
          <w:tcPr>
            <w:tcW w:w="1075" w:type="dxa"/>
          </w:tcPr>
          <w:p w14:paraId="567829C4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</w:tcPr>
          <w:p w14:paraId="5AE722FC" w14:textId="5AFA5337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387" w:type="dxa"/>
          </w:tcPr>
          <w:p w14:paraId="70361521" w14:textId="415FCB80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fluturime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Air Albania</w:t>
            </w:r>
            <w:r w:rsidR="00661802" w:rsidRPr="00AF6FE4">
              <w:rPr>
                <w:rFonts w:ascii="Times New Roman" w:hAnsi="Times New Roman" w:cs="Times New Roman"/>
              </w:rPr>
              <w:t>,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802" w:rsidRPr="00AF6FE4">
              <w:rPr>
                <w:rFonts w:ascii="Times New Roman" w:hAnsi="Times New Roman" w:cs="Times New Roman"/>
              </w:rPr>
              <w:t>mbi</w:t>
            </w:r>
            <w:proofErr w:type="spellEnd"/>
            <w:r w:rsidR="00661802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802" w:rsidRPr="00AF6FE4">
              <w:rPr>
                <w:rFonts w:ascii="Times New Roman" w:hAnsi="Times New Roman" w:cs="Times New Roman"/>
              </w:rPr>
              <w:t>nis</w:t>
            </w:r>
            <w:r w:rsidR="00661802" w:rsidRPr="00AF6FE4">
              <w:rPr>
                <w:rFonts w:ascii="Times New Roman" w:hAnsi="Times New Roman" w:cs="Times New Roman"/>
              </w:rPr>
              <w:t>jen</w:t>
            </w:r>
            <w:proofErr w:type="spellEnd"/>
            <w:r w:rsidR="00661802" w:rsidRPr="00AF6FE4">
              <w:rPr>
                <w:rFonts w:ascii="Times New Roman" w:hAnsi="Times New Roman" w:cs="Times New Roman"/>
              </w:rPr>
              <w:t xml:space="preserve"> e </w:t>
            </w:r>
            <w:r w:rsidR="00661802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802" w:rsidRPr="00AF6FE4">
              <w:rPr>
                <w:rFonts w:ascii="Times New Roman" w:hAnsi="Times New Roman" w:cs="Times New Roman"/>
              </w:rPr>
              <w:t>fluturime</w:t>
            </w:r>
            <w:r w:rsidR="00661802" w:rsidRPr="00AF6FE4">
              <w:rPr>
                <w:rFonts w:ascii="Times New Roman" w:hAnsi="Times New Roman" w:cs="Times New Roman"/>
              </w:rPr>
              <w:t>ve</w:t>
            </w:r>
            <w:proofErr w:type="spellEnd"/>
            <w:r w:rsidR="00661802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802" w:rsidRPr="00AF6FE4">
              <w:rPr>
                <w:rFonts w:ascii="Times New Roman" w:hAnsi="Times New Roman" w:cs="Times New Roman"/>
              </w:rPr>
              <w:t>direkte</w:t>
            </w:r>
            <w:proofErr w:type="spellEnd"/>
            <w:r w:rsidR="00661802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1802" w:rsidRPr="00AF6FE4">
              <w:rPr>
                <w:rFonts w:ascii="Times New Roman" w:hAnsi="Times New Roman" w:cs="Times New Roman"/>
              </w:rPr>
              <w:t>Tirane</w:t>
            </w:r>
            <w:proofErr w:type="spellEnd"/>
            <w:r w:rsidR="00661802" w:rsidRPr="00AF6FE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661802" w:rsidRPr="00AF6FE4">
              <w:rPr>
                <w:rFonts w:ascii="Times New Roman" w:hAnsi="Times New Roman" w:cs="Times New Roman"/>
              </w:rPr>
              <w:t>Ne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="00661802" w:rsidRPr="00AF6FE4">
              <w:rPr>
                <w:rFonts w:ascii="Times New Roman" w:hAnsi="Times New Roman" w:cs="Times New Roman"/>
              </w:rPr>
              <w:t xml:space="preserve"> York me Air Albania</w:t>
            </w:r>
          </w:p>
        </w:tc>
        <w:tc>
          <w:tcPr>
            <w:tcW w:w="1392" w:type="dxa"/>
          </w:tcPr>
          <w:p w14:paraId="65D58F4B" w14:textId="3BA7F9AB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3402" w:type="dxa"/>
          </w:tcPr>
          <w:p w14:paraId="4CE71746" w14:textId="383EAF13" w:rsidR="00B04DDF" w:rsidRPr="00AF6FE4" w:rsidRDefault="003B229B" w:rsidP="009C60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Aviacionit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Civil (AAC)</w:t>
            </w:r>
          </w:p>
        </w:tc>
        <w:tc>
          <w:tcPr>
            <w:tcW w:w="1279" w:type="dxa"/>
          </w:tcPr>
          <w:p w14:paraId="5874A8E7" w14:textId="3F35A23D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3B229B"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0E8082E8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1C15A467" w14:textId="77777777" w:rsidTr="00B04DDF">
        <w:trPr>
          <w:trHeight w:val="310"/>
        </w:trPr>
        <w:tc>
          <w:tcPr>
            <w:tcW w:w="1075" w:type="dxa"/>
          </w:tcPr>
          <w:p w14:paraId="4A56759A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</w:tcPr>
          <w:p w14:paraId="71EA72FA" w14:textId="5267699F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387" w:type="dxa"/>
          </w:tcPr>
          <w:p w14:paraId="4A49DF73" w14:textId="41A2CA83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mbi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r w:rsidRPr="00AF6FE4">
              <w:t xml:space="preserve"> </w:t>
            </w:r>
            <w:proofErr w:type="spellStart"/>
            <w:r w:rsidRPr="00AF6FE4">
              <w:t>p</w:t>
            </w:r>
            <w:r w:rsidRPr="00AF6FE4">
              <w:rPr>
                <w:rFonts w:ascii="Times New Roman" w:hAnsi="Times New Roman" w:cs="Times New Roman"/>
              </w:rPr>
              <w:t>rocedur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prokurimit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Rrugor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Shqiptar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tenderin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Qendra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monitorimit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trafikut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(200 km)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Faza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Parë</w:t>
            </w:r>
            <w:proofErr w:type="spellEnd"/>
            <w:r w:rsidRPr="00AF6FE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92" w:type="dxa"/>
          </w:tcPr>
          <w:p w14:paraId="0F0E17B8" w14:textId="54B9321D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3402" w:type="dxa"/>
          </w:tcPr>
          <w:p w14:paraId="58A7903D" w14:textId="3D395861" w:rsidR="00B04DDF" w:rsidRPr="00AF6FE4" w:rsidRDefault="003B229B" w:rsidP="009815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Rrugor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Shqiptar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(ARRSH)</w:t>
            </w:r>
          </w:p>
        </w:tc>
        <w:tc>
          <w:tcPr>
            <w:tcW w:w="1279" w:type="dxa"/>
          </w:tcPr>
          <w:p w14:paraId="2F556441" w14:textId="485A1BBE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79F3E142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0EA24F67" w14:textId="77777777" w:rsidTr="00B04DDF">
        <w:trPr>
          <w:trHeight w:val="295"/>
        </w:trPr>
        <w:tc>
          <w:tcPr>
            <w:tcW w:w="1075" w:type="dxa"/>
          </w:tcPr>
          <w:p w14:paraId="0550CDFA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</w:tcPr>
          <w:p w14:paraId="07FA9909" w14:textId="1578C2A5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387" w:type="dxa"/>
          </w:tcPr>
          <w:p w14:paraId="33CD9E00" w14:textId="0C6B89C4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licens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fush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rtim</w:t>
            </w:r>
            <w:proofErr w:type="spellEnd"/>
          </w:p>
        </w:tc>
        <w:tc>
          <w:tcPr>
            <w:tcW w:w="1392" w:type="dxa"/>
          </w:tcPr>
          <w:p w14:paraId="72333486" w14:textId="317CAEC4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3402" w:type="dxa"/>
          </w:tcPr>
          <w:p w14:paraId="3172E04F" w14:textId="1178B95D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rkuesi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se, </w:t>
            </w:r>
            <w:r w:rsidRPr="00AF6FE4"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Pr="00AF6FE4">
              <w:rPr>
                <w:rFonts w:ascii="Times New Roman" w:hAnsi="Times New Roman" w:cs="Times New Roman"/>
              </w:rPr>
              <w:t>ërkesën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saktë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Lidhja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6"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shërbimin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F6FE4">
              <w:rPr>
                <w:rFonts w:ascii="Times New Roman" w:hAnsi="Times New Roman" w:cs="Times New Roman"/>
              </w:rPr>
              <w:t>Zgjatje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afatit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licencës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fushën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"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gjeni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logoheni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portalin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AF6FE4">
              <w:rPr>
                <w:rFonts w:ascii="Times New Roman" w:hAnsi="Times New Roman" w:cs="Times New Roman"/>
              </w:rPr>
              <w:t>albania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kredencialet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subjektit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1F13F245" w14:textId="006D6F3A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B42040D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4278B209" w14:textId="77777777" w:rsidTr="00B04DDF">
        <w:trPr>
          <w:trHeight w:val="348"/>
        </w:trPr>
        <w:tc>
          <w:tcPr>
            <w:tcW w:w="1075" w:type="dxa"/>
          </w:tcPr>
          <w:p w14:paraId="03CCCC62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</w:tcPr>
          <w:p w14:paraId="62C97449" w14:textId="6B67D9C8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387" w:type="dxa"/>
          </w:tcPr>
          <w:p w14:paraId="657F068F" w14:textId="5569EC85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mbi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rbimet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linj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ajrore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Air Albania</w:t>
            </w:r>
          </w:p>
        </w:tc>
        <w:tc>
          <w:tcPr>
            <w:tcW w:w="1392" w:type="dxa"/>
          </w:tcPr>
          <w:p w14:paraId="552B8752" w14:textId="3271D123" w:rsidR="00B04DDF" w:rsidRPr="00AF6FE4" w:rsidRDefault="003B229B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3402" w:type="dxa"/>
          </w:tcPr>
          <w:p w14:paraId="01F339CC" w14:textId="30B3F1F9" w:rsidR="00B04DDF" w:rsidRPr="00AF6FE4" w:rsidRDefault="003B229B" w:rsidP="00981524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AAC</w:t>
            </w:r>
          </w:p>
        </w:tc>
        <w:tc>
          <w:tcPr>
            <w:tcW w:w="1279" w:type="dxa"/>
          </w:tcPr>
          <w:p w14:paraId="6AFCF4E3" w14:textId="6311B913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3B229B"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054BA800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75472F19" w14:textId="77777777" w:rsidTr="00B04DDF">
        <w:trPr>
          <w:trHeight w:val="310"/>
        </w:trPr>
        <w:tc>
          <w:tcPr>
            <w:tcW w:w="1075" w:type="dxa"/>
          </w:tcPr>
          <w:p w14:paraId="2B52D94A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50" w:type="dxa"/>
          </w:tcPr>
          <w:p w14:paraId="2466B371" w14:textId="5350DC07" w:rsidR="00B04DDF" w:rsidRPr="00AF6FE4" w:rsidRDefault="00BA7704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16.04.2023</w:t>
            </w:r>
          </w:p>
        </w:tc>
        <w:tc>
          <w:tcPr>
            <w:tcW w:w="2387" w:type="dxa"/>
          </w:tcPr>
          <w:p w14:paraId="12FEBB70" w14:textId="7FCA4504" w:rsidR="00B04DDF" w:rsidRPr="00AF6FE4" w:rsidRDefault="00BA7704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Parkun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Karavastas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v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0E4083" w:rsidRPr="00AF6FE4">
              <w:rPr>
                <w:rFonts w:ascii="Times New Roman" w:hAnsi="Times New Roman" w:cs="Times New Roman"/>
              </w:rPr>
              <w:t>nie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dispozicion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r w:rsidR="000E4083" w:rsidRPr="00AF6FE4">
              <w:rPr>
                <w:rFonts w:ascii="Times New Roman" w:hAnsi="Times New Roman" w:cs="Times New Roman"/>
              </w:rPr>
              <w:t>“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Marrëveshjes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zhvillimin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projektit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ndërmjet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Ministrisë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dhe “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Voltalia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392" w:type="dxa"/>
          </w:tcPr>
          <w:p w14:paraId="516972CE" w14:textId="770BC990" w:rsidR="00B04DDF" w:rsidRPr="00AF6FE4" w:rsidRDefault="000E408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3402" w:type="dxa"/>
          </w:tcPr>
          <w:p w14:paraId="0AD55315" w14:textId="77777777" w:rsidR="000E4083" w:rsidRPr="00AF6FE4" w:rsidRDefault="000E4083" w:rsidP="000E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Impianti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vendodhje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zonën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Remas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Karavasta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Lushnje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Libofshe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Fier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cili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zhvillohet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Voltalia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a.s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fazë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ndërtimore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sipas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programit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përfundim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bashkëpunim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përfaqësues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Agjencisë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Kombetare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Burimeve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Natyrore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do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zhvillojë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gjitha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ligjore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monitorimin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mbikqyrjen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34E100B4" w14:textId="77777777" w:rsidR="000E4083" w:rsidRPr="00AF6FE4" w:rsidRDefault="000E4083" w:rsidP="000E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E4DC72" w14:textId="77777777" w:rsidR="000E4083" w:rsidRPr="00AF6FE4" w:rsidRDefault="000E4083" w:rsidP="000E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përgjigje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kërkesës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Parkut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Karavastasë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ju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vëmë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dijeni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vijon</w:t>
            </w:r>
            <w:proofErr w:type="spellEnd"/>
            <w:r w:rsidRPr="00AF6FE4">
              <w:rPr>
                <w:rFonts w:ascii="Times New Roman" w:hAnsi="Times New Roman" w:cs="Times New Roman"/>
              </w:rPr>
              <w:t>:</w:t>
            </w:r>
          </w:p>
          <w:p w14:paraId="04E9E034" w14:textId="77777777" w:rsidR="000E4083" w:rsidRPr="00AF6FE4" w:rsidRDefault="000E4083" w:rsidP="000E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4AD5C1" w14:textId="77777777" w:rsidR="000E4083" w:rsidRPr="00AF6FE4" w:rsidRDefault="000E4083" w:rsidP="000E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zhvilluar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procedurë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konkurruese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financimin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ndertimin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mirembajtjen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transferimin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Impiantit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vendodhje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zonën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Remas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Karavasta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Lushnje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Libofshe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Fier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7/2017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nxitjen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prodhimit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lastRenderedPageBreak/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burimet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rinovueshme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 dhe V.K.M. nr. 349,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12.6.2018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masave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mbështetëse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nxitjen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përdorimit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burimet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rinovueshme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diellit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përzgjedhjen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përfitimin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tyre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20F6FCB2" w14:textId="77777777" w:rsidR="000E4083" w:rsidRPr="00AF6FE4" w:rsidRDefault="000E4083" w:rsidP="000E4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EC0BD8" w14:textId="77777777" w:rsidR="00B04DDF" w:rsidRPr="00AF6FE4" w:rsidRDefault="000E4083" w:rsidP="000E4083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Kjo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procedure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objekt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125/2013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partneritetin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privat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investimi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këtij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100% me fond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privat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5B84E5FF" w14:textId="77777777" w:rsidR="00DA2075" w:rsidRPr="00AF6FE4" w:rsidRDefault="00DA2075" w:rsidP="00DA2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Referuar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zhvillimin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ndërmjet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Voltalia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22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Konfidencialiteti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publiciteti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pika 22.1.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përcakton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vijon</w:t>
            </w:r>
            <w:proofErr w:type="spellEnd"/>
            <w:r w:rsidRPr="00AF6FE4">
              <w:rPr>
                <w:rFonts w:ascii="Times New Roman" w:hAnsi="Times New Roman" w:cs="Times New Roman"/>
              </w:rPr>
              <w:t>: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përjashtimeve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parashikuara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Nenet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22.2 dhe 22.3,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data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nënshkrimit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deri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përfundimin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zgjidhjen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brenda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periudhe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vjeçare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përfundimit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zgjidhjes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asnjë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Palët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nxjerr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lejon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oficerët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punonjësit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agjentet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kontraktorët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zbulojnë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përmbajtjen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çdo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konfidencial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tregtar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negociatat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rreth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cilat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mund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t’i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jenë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bërë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njohura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palës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gjatë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zhvillimit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negociatave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tilla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veprimet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tregtare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financiare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çështje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palës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tjetër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pa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pëlqimin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palës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tjetër</w:t>
            </w:r>
            <w:proofErr w:type="spellEnd"/>
            <w:r w:rsidRPr="00AF6FE4">
              <w:rPr>
                <w:rFonts w:ascii="Times New Roman" w:hAnsi="Times New Roman" w:cs="Times New Roman"/>
              </w:rPr>
              <w:t>”.</w:t>
            </w:r>
          </w:p>
          <w:p w14:paraId="14784E24" w14:textId="77777777" w:rsidR="00DA2075" w:rsidRPr="00AF6FE4" w:rsidRDefault="00DA2075" w:rsidP="00DA2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FB181A" w14:textId="665A8122" w:rsidR="000E4083" w:rsidRPr="00AF6FE4" w:rsidRDefault="00DA2075" w:rsidP="00DA2075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Referuar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17, pika 3 “E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drejta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kufizohet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domosdoshme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proporcionale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qoftë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përhapja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informacionit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do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shkelte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sekretin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profesional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garantuar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</w:t>
            </w:r>
            <w:r w:rsidRPr="00AF6FE4">
              <w:rPr>
                <w:rFonts w:ascii="Times New Roman" w:hAnsi="Times New Roman" w:cs="Times New Roman"/>
              </w:rPr>
              <w:lastRenderedPageBreak/>
              <w:t xml:space="preserve">119/2014 “Për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drejtën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dokumenti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kërkuar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mund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jepet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Ministrinë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do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konsiderohej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shkelje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termave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marrëveshjes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sipërcituar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0FD881A1" w14:textId="3AB6F123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kufizuar</w:t>
            </w:r>
            <w:proofErr w:type="spellEnd"/>
            <w:r w:rsidR="000E4083" w:rsidRPr="00AF6F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14:paraId="7FF1AB57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3FD0EAB4" w14:textId="77777777" w:rsidTr="00B04DDF">
        <w:trPr>
          <w:trHeight w:val="295"/>
        </w:trPr>
        <w:tc>
          <w:tcPr>
            <w:tcW w:w="1075" w:type="dxa"/>
          </w:tcPr>
          <w:p w14:paraId="46E6D415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1350" w:type="dxa"/>
          </w:tcPr>
          <w:p w14:paraId="2063092A" w14:textId="69AD15E9" w:rsidR="00B04DDF" w:rsidRPr="00AF6FE4" w:rsidRDefault="00BA7704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387" w:type="dxa"/>
          </w:tcPr>
          <w:p w14:paraId="12635A71" w14:textId="0168A746" w:rsidR="00B04DDF" w:rsidRPr="00AF6FE4" w:rsidRDefault="000E4083" w:rsidP="00AF1ED1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portin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MBM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Porto Romano</w:t>
            </w:r>
          </w:p>
        </w:tc>
        <w:tc>
          <w:tcPr>
            <w:tcW w:w="1392" w:type="dxa"/>
          </w:tcPr>
          <w:p w14:paraId="08914DC9" w14:textId="4A13C924" w:rsidR="00B04DDF" w:rsidRPr="00AF6FE4" w:rsidRDefault="000E408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3402" w:type="dxa"/>
          </w:tcPr>
          <w:p w14:paraId="4961DC5B" w14:textId="5AF5C7AB" w:rsidR="00B04DDF" w:rsidRPr="00AF6FE4" w:rsidRDefault="000E4083" w:rsidP="0076288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Portual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Durr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279" w:type="dxa"/>
          </w:tcPr>
          <w:p w14:paraId="4A4F5BB6" w14:textId="1758479F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617E27FC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770A7217" w14:textId="77777777" w:rsidTr="00B04DDF">
        <w:trPr>
          <w:trHeight w:val="348"/>
        </w:trPr>
        <w:tc>
          <w:tcPr>
            <w:tcW w:w="1075" w:type="dxa"/>
          </w:tcPr>
          <w:p w14:paraId="4CC8D468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50" w:type="dxa"/>
          </w:tcPr>
          <w:p w14:paraId="4F896B87" w14:textId="40C2A642" w:rsidR="00B04DDF" w:rsidRPr="00AF6FE4" w:rsidRDefault="00BA7704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387" w:type="dxa"/>
          </w:tcPr>
          <w:p w14:paraId="65EEFA66" w14:textId="62AE65D2" w:rsidR="00B04DDF" w:rsidRPr="00AF6FE4" w:rsidRDefault="00DA2075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kredinë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BERZH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rikonstruksionin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HEC-eve “Bistrica 1, Bistrica 2,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Ulëz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Shkopet</w:t>
            </w:r>
            <w:proofErr w:type="spellEnd"/>
          </w:p>
        </w:tc>
        <w:tc>
          <w:tcPr>
            <w:tcW w:w="1392" w:type="dxa"/>
          </w:tcPr>
          <w:p w14:paraId="1C090B86" w14:textId="7090C1D7" w:rsidR="00B04DDF" w:rsidRPr="00AF6FE4" w:rsidRDefault="00DA2075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3402" w:type="dxa"/>
          </w:tcPr>
          <w:p w14:paraId="220BDFCF" w14:textId="621BB5AB" w:rsidR="00B04DDF" w:rsidRPr="00AF6FE4" w:rsidRDefault="00DA2075" w:rsidP="00B04DDF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Ministria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përputhje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fushën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përgjegjësisë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bazuar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125/2013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partneritetin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privat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dhe jo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VKM-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822/2015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procedurave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kapaciteteve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reja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prodhuese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elektrike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janë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objekt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>/</w:t>
            </w:r>
            <w:proofErr w:type="spellStart"/>
            <w:r w:rsidRPr="00AF6FE4">
              <w:rPr>
                <w:rFonts w:ascii="Times New Roman" w:hAnsi="Times New Roman" w:cs="Times New Roman"/>
              </w:rPr>
              <w:t>rikonstruksionin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hidrocentraleve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vend,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asnjë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marrëdhënie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kontraktuale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hidrocentralet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“Bistrica 1, Bistrica 2,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Ulëz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Shkopet</w:t>
            </w:r>
            <w:proofErr w:type="spellEnd"/>
            <w:r w:rsidRPr="00AF6FE4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279" w:type="dxa"/>
          </w:tcPr>
          <w:p w14:paraId="3C95D0A8" w14:textId="34718D5F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E</w:t>
            </w:r>
            <w:r w:rsidRPr="00AF6FE4"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A72894F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5113D583" w14:textId="77777777" w:rsidTr="00B04DDF">
        <w:trPr>
          <w:trHeight w:val="310"/>
        </w:trPr>
        <w:tc>
          <w:tcPr>
            <w:tcW w:w="1075" w:type="dxa"/>
          </w:tcPr>
          <w:p w14:paraId="66C7C6C0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50" w:type="dxa"/>
          </w:tcPr>
          <w:p w14:paraId="1920B142" w14:textId="2C3993E9" w:rsidR="00B04DDF" w:rsidRPr="00AF6FE4" w:rsidRDefault="00BA7704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2387" w:type="dxa"/>
          </w:tcPr>
          <w:p w14:paraId="163CEDF9" w14:textId="69FDBEC4" w:rsidR="00B04DDF" w:rsidRPr="00AF6FE4" w:rsidRDefault="00DA2075" w:rsidP="00981524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r w:rsidRPr="00AF6FE4"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nëse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“X”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paisur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kategorine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NS13</w:t>
            </w:r>
          </w:p>
        </w:tc>
        <w:tc>
          <w:tcPr>
            <w:tcW w:w="1392" w:type="dxa"/>
          </w:tcPr>
          <w:p w14:paraId="3A821764" w14:textId="06F83B17" w:rsidR="00B04DDF" w:rsidRPr="00AF6FE4" w:rsidRDefault="00DA2075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3402" w:type="dxa"/>
          </w:tcPr>
          <w:p w14:paraId="2BC81811" w14:textId="09266EFD" w:rsidR="00B04DDF" w:rsidRPr="00AF6FE4" w:rsidRDefault="00DA2075" w:rsidP="009C6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</w:pP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Informuar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k</w:t>
            </w:r>
            <w:r w:rsid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ë</w:t>
            </w:r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rkuesi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se,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s</w:t>
            </w:r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hoqëria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" X” e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disponon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kategorinë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NS13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në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fushën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e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supervizimit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e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mbikëqyrje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kolaudimit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të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punimeve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në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ndërtim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212121"/>
                <w:lang w:val="en-GB" w:eastAsia="en-GB"/>
              </w:rPr>
              <w:t>.</w:t>
            </w:r>
          </w:p>
        </w:tc>
        <w:tc>
          <w:tcPr>
            <w:tcW w:w="1279" w:type="dxa"/>
          </w:tcPr>
          <w:p w14:paraId="36501B9E" w14:textId="20124FEF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0E4083" w:rsidRPr="00AF6FE4">
              <w:rPr>
                <w:rFonts w:ascii="Times New Roman" w:hAnsi="Times New Roman" w:cs="Times New Roman"/>
              </w:rPr>
              <w:t>plot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170" w:type="dxa"/>
          </w:tcPr>
          <w:p w14:paraId="3A405544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2CCBCD2A" w14:textId="77777777" w:rsidTr="00B04DDF">
        <w:trPr>
          <w:trHeight w:val="295"/>
        </w:trPr>
        <w:tc>
          <w:tcPr>
            <w:tcW w:w="1075" w:type="dxa"/>
          </w:tcPr>
          <w:p w14:paraId="00F2EB32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</w:tcPr>
          <w:p w14:paraId="02358029" w14:textId="52C38F8E" w:rsidR="00B04DDF" w:rsidRPr="00AF6FE4" w:rsidRDefault="00DA2075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2387" w:type="dxa"/>
          </w:tcPr>
          <w:p w14:paraId="598251B4" w14:textId="1AA323C8" w:rsidR="00B04DDF" w:rsidRPr="00AF6FE4" w:rsidRDefault="00DA2075" w:rsidP="003220FD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objekt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Rehabilitimi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rrjetit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kullimit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zon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Porto Romanos –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net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sistemimi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rrjetit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ujrave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r w:rsidR="00D94263" w:rsidRPr="00AF6FE4">
              <w:rPr>
                <w:rFonts w:ascii="Times New Roman" w:hAnsi="Times New Roman" w:cs="Times New Roman"/>
              </w:rPr>
              <w:t>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D9426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4263" w:rsidRPr="00AF6FE4">
              <w:rPr>
                <w:rFonts w:ascii="Times New Roman" w:hAnsi="Times New Roman" w:cs="Times New Roman"/>
              </w:rPr>
              <w:t>shiut</w:t>
            </w:r>
            <w:proofErr w:type="spellEnd"/>
            <w:r w:rsidR="00D9426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4263"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="00D9426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4263" w:rsidRPr="00AF6FE4">
              <w:rPr>
                <w:rFonts w:ascii="Times New Roman" w:hAnsi="Times New Roman" w:cs="Times New Roman"/>
              </w:rPr>
              <w:t>zon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="00D94263" w:rsidRPr="00AF6FE4">
              <w:rPr>
                <w:rFonts w:ascii="Times New Roman" w:hAnsi="Times New Roman" w:cs="Times New Roman"/>
              </w:rPr>
              <w:t xml:space="preserve"> urbane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D9426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4263" w:rsidRPr="00AF6FE4">
              <w:rPr>
                <w:rFonts w:ascii="Times New Roman" w:hAnsi="Times New Roman" w:cs="Times New Roman"/>
              </w:rPr>
              <w:t>qytetit</w:t>
            </w:r>
            <w:proofErr w:type="spellEnd"/>
            <w:r w:rsidR="00D94263"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D94263"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4263" w:rsidRPr="00AF6FE4">
              <w:rPr>
                <w:rFonts w:ascii="Times New Roman" w:hAnsi="Times New Roman" w:cs="Times New Roman"/>
              </w:rPr>
              <w:t>Durr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D94263" w:rsidRPr="00AF6FE4">
              <w:rPr>
                <w:rFonts w:ascii="Times New Roman" w:hAnsi="Times New Roman" w:cs="Times New Roman"/>
              </w:rPr>
              <w:t>sit</w:t>
            </w:r>
            <w:proofErr w:type="spellEnd"/>
            <w:r w:rsidR="00D94263" w:rsidRPr="00AF6FE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92" w:type="dxa"/>
          </w:tcPr>
          <w:p w14:paraId="77853D31" w14:textId="00C9D9CE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3402" w:type="dxa"/>
          </w:tcPr>
          <w:p w14:paraId="4D896761" w14:textId="48EC47C3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Bashkis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Durr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2B4FC157" w14:textId="1FDE424C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D94263"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2DB8FCED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04352A4C" w14:textId="77777777" w:rsidTr="00B04DDF">
        <w:trPr>
          <w:trHeight w:val="295"/>
        </w:trPr>
        <w:tc>
          <w:tcPr>
            <w:tcW w:w="1075" w:type="dxa"/>
          </w:tcPr>
          <w:p w14:paraId="218A9F86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14:paraId="5E16944C" w14:textId="4A020120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387" w:type="dxa"/>
          </w:tcPr>
          <w:p w14:paraId="2343FF6D" w14:textId="671B139A" w:rsidR="00B04DDF" w:rsidRPr="00AF6FE4" w:rsidRDefault="00D94263" w:rsidP="002A6E85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kompanin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Eni,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Bllokun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Dum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res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02AACDF2" w14:textId="2C688536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3402" w:type="dxa"/>
          </w:tcPr>
          <w:p w14:paraId="7F55F875" w14:textId="77777777" w:rsidR="00D94263" w:rsidRPr="00AF6FE4" w:rsidRDefault="00D94263" w:rsidP="00D94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Kompania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Eni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realizon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operacione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hidrokarbure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bllokun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Dumresë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Ndarje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Prodhimi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Kërkimin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Zhvillimin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Prodhimin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hidrokarbureve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pjesën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tokësore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Shqipëri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blloku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Dumre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;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miratuar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VKM nr. 187,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26.02.2020.</w:t>
            </w:r>
          </w:p>
          <w:p w14:paraId="20299E89" w14:textId="77777777" w:rsidR="00D94263" w:rsidRPr="00AF6FE4" w:rsidRDefault="00D94263" w:rsidP="00D94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7F4FEA" w14:textId="77777777" w:rsidR="00B04DDF" w:rsidRPr="00AF6FE4" w:rsidRDefault="00D94263" w:rsidP="00D942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Kompania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Eni ka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filluar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Vendimi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187,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26.02.2020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botuar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Fletoren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Zyrtare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Republikës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Shqipërisë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ndodhet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fazën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kërkimit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hidrokarbureve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6DAB6C1E" w14:textId="6D60D5A7" w:rsidR="00D94263" w:rsidRPr="00AF6FE4" w:rsidRDefault="00D94263" w:rsidP="00D94263">
            <w:pPr>
              <w:jc w:val="both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Kopje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kompanisë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Eni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gjendet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linkun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r w:rsidRPr="00AF6FE4">
              <w:rPr>
                <w:rFonts w:ascii="Times New Roman" w:hAnsi="Times New Roman" w:cs="Times New Roman"/>
              </w:rPr>
              <w:t>(https://qbz.gov.al/eli/vendim/2020/02/26/187/26114577-6f82-4757-9fd7-dd3527a39f30)</w:t>
            </w:r>
          </w:p>
        </w:tc>
        <w:tc>
          <w:tcPr>
            <w:tcW w:w="1279" w:type="dxa"/>
          </w:tcPr>
          <w:p w14:paraId="645FA55F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445822A0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6A18483F" w14:textId="77777777" w:rsidTr="00B04DDF">
        <w:trPr>
          <w:trHeight w:val="295"/>
        </w:trPr>
        <w:tc>
          <w:tcPr>
            <w:tcW w:w="1075" w:type="dxa"/>
          </w:tcPr>
          <w:p w14:paraId="06A454BE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</w:tcPr>
          <w:p w14:paraId="6953BA2A" w14:textId="471FDB40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2387" w:type="dxa"/>
          </w:tcPr>
          <w:p w14:paraId="4C19BF7D" w14:textId="4C554A3F" w:rsidR="00B04DDF" w:rsidRPr="00AF6FE4" w:rsidRDefault="00D94263" w:rsidP="006C41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F6FE4">
              <w:rPr>
                <w:rFonts w:ascii="Times New Roman" w:eastAsia="Times New Roman" w:hAnsi="Times New Roman" w:cs="Times New Roman"/>
                <w:color w:val="000000"/>
              </w:rPr>
              <w:t>nformacion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lidhje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shpronësimin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pasurive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të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paluajtshme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pronë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private,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preken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realizimi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projektit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Ndërtimi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aksit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rrugor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Thumanë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Vorë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Kashar</w:t>
            </w:r>
            <w:proofErr w:type="spellEnd"/>
            <w:r w:rsidRPr="00AF6FE4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1392" w:type="dxa"/>
          </w:tcPr>
          <w:p w14:paraId="12D3FD46" w14:textId="50BC0AA9" w:rsidR="00B04DDF" w:rsidRPr="00AF6FE4" w:rsidRDefault="00D94263" w:rsidP="003220FD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3402" w:type="dxa"/>
          </w:tcPr>
          <w:p w14:paraId="3E5781A6" w14:textId="77777777" w:rsidR="00D94263" w:rsidRPr="00AF6FE4" w:rsidRDefault="00D94263" w:rsidP="00D9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Procedurat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shpronësimit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interes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Republikën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Shqipërisë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kryhen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8561,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22.12.1999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shpronësimet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marrjen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përdorim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përkohshëm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pasurisë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private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interes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ndryshuar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3E15938C" w14:textId="77777777" w:rsidR="00D94263" w:rsidRPr="00AF6FE4" w:rsidRDefault="00D94263" w:rsidP="00D942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7BDD7D" w14:textId="101824A5" w:rsidR="00D94263" w:rsidRPr="00AF6FE4" w:rsidRDefault="00D94263" w:rsidP="00D9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Ky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shpronësim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bëhet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përmbushjen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detyrimeve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Shqiptar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realizimin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investimeve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interes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2088 Rep., Nr. 670 Kol.,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09.05.2022,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Miratuar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Vendim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360,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26.05.2022 “Për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miratimin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AF6FE4">
              <w:rPr>
                <w:rFonts w:ascii="Times New Roman" w:hAnsi="Times New Roman" w:cs="Times New Roman"/>
              </w:rPr>
              <w:t>/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partneritetit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privat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ndërmjet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autoriteti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kontraktor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Gener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sh.p.k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“G2 Infra”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sh.p.k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mirëmbajtjen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transferimin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aksit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rrugor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Thumanë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Vorë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Kashar</w:t>
            </w:r>
            <w:proofErr w:type="spellEnd"/>
            <w:r w:rsidRPr="00AF6FE4">
              <w:rPr>
                <w:rFonts w:ascii="Times New Roman" w:hAnsi="Times New Roman" w:cs="Times New Roman"/>
              </w:rPr>
              <w:t>”</w:t>
            </w:r>
            <w:r w:rsidRPr="00AF6FE4">
              <w:rPr>
                <w:rFonts w:ascii="Times New Roman" w:hAnsi="Times New Roman" w:cs="Times New Roman"/>
              </w:rPr>
              <w:t>.</w:t>
            </w:r>
            <w:r w:rsidRPr="00AF6FE4"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Konkretisht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Vendimin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nr. 332,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31.5.2023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Këshillit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Ministrave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"Për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shpronësimin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interes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pronarëve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pasurive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paluajtshme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private,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preken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aksit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rrugor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Thumanë-Vorë-</w:t>
            </w:r>
            <w:r w:rsidRPr="00AF6FE4">
              <w:rPr>
                <w:rFonts w:ascii="Times New Roman" w:hAnsi="Times New Roman" w:cs="Times New Roman"/>
              </w:rPr>
              <w:lastRenderedPageBreak/>
              <w:t>Kashar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miratuar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kjo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kërkesë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publikuar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Fletoren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Zyrtare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Nr. 84,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02.06.2023.</w:t>
            </w:r>
          </w:p>
          <w:p w14:paraId="09ECECB7" w14:textId="77777777" w:rsidR="00D94263" w:rsidRPr="00AF6FE4" w:rsidRDefault="00D94263" w:rsidP="00D942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18338B" w14:textId="094283BE" w:rsidR="00D94263" w:rsidRPr="00AF6FE4" w:rsidRDefault="00D94263" w:rsidP="00D942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Pasuritë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private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shpronësohen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pronarët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përkatës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masa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shpërblimit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përcaktuar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tabelën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bashkëlidhur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VKM-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30BC3532" w14:textId="337E51E2" w:rsidR="00B04DDF" w:rsidRPr="00AF6FE4" w:rsidRDefault="00D94263" w:rsidP="00D94263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Pronarët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pasurive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paluajtshme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private,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prekur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realizimi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këtij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do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kompensohen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vlerën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totale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prej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179 008 557.70 (</w:t>
            </w:r>
            <w:proofErr w:type="spellStart"/>
            <w:r w:rsidRPr="00AF6FE4">
              <w:rPr>
                <w:rFonts w:ascii="Times New Roman" w:hAnsi="Times New Roman" w:cs="Times New Roman"/>
              </w:rPr>
              <w:t>njëqind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shtatëdhjetë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milionë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pesëqind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pesëdhjetë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shtatë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pikë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shtatëdhjetë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lekë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  <w:p w14:paraId="4DB6BE33" w14:textId="55C5AF2C" w:rsidR="00D94263" w:rsidRPr="00AF6FE4" w:rsidRDefault="00D94263" w:rsidP="00D94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6AB9945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3023D7BD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377FB2AD" w14:textId="77777777" w:rsidTr="00B04DDF">
        <w:trPr>
          <w:trHeight w:val="295"/>
        </w:trPr>
        <w:tc>
          <w:tcPr>
            <w:tcW w:w="1075" w:type="dxa"/>
          </w:tcPr>
          <w:p w14:paraId="409889E1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</w:tcPr>
          <w:p w14:paraId="36EE5348" w14:textId="5D82B7EA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387" w:type="dxa"/>
          </w:tcPr>
          <w:p w14:paraId="6FFDC320" w14:textId="2122D595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rkes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nien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list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r w:rsidRPr="00AF6FE4">
              <w:t xml:space="preserve"> </w:t>
            </w:r>
            <w:r w:rsidRPr="00AF6FE4">
              <w:rPr>
                <w:rFonts w:ascii="Times New Roman" w:hAnsi="Times New Roman" w:cs="Times New Roman"/>
              </w:rPr>
              <w:t>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kompanive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nënkontraktuara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nga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kompanitë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Thumanë-Vorë-Kashar</w:t>
            </w:r>
            <w:proofErr w:type="spellEnd"/>
            <w:r w:rsidRPr="00AF6FE4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392" w:type="dxa"/>
          </w:tcPr>
          <w:p w14:paraId="753397E3" w14:textId="5C2015E2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08.06.</w:t>
            </w:r>
            <w:r w:rsidR="00EF3946" w:rsidRPr="00AF6F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02" w:type="dxa"/>
          </w:tcPr>
          <w:p w14:paraId="1162628E" w14:textId="50ACF20A" w:rsidR="00EF3946" w:rsidRPr="00AF6FE4" w:rsidRDefault="00EF3946" w:rsidP="00EF3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rkuesi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se, </w:t>
            </w:r>
            <w:r w:rsidRPr="00AF6FE4"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</w:t>
            </w:r>
            <w:r w:rsidRPr="00AF6FE4">
              <w:rPr>
                <w:rFonts w:ascii="Times New Roman" w:hAnsi="Times New Roman" w:cs="Times New Roman"/>
              </w:rPr>
              <w:t>eferuar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10 "E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drejta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Nënkontraktimit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",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Nr.Rep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 2088,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Nr.Kol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 670,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09.05.2022 "Për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Mirëmbajtjen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Transferimin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Aksit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Rrugor "</w:t>
            </w:r>
            <w:proofErr w:type="spellStart"/>
            <w:r w:rsidRPr="00AF6FE4">
              <w:rPr>
                <w:rFonts w:ascii="Times New Roman" w:hAnsi="Times New Roman" w:cs="Times New Roman"/>
              </w:rPr>
              <w:t>Thumanë-Vorë-Kashar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drejtë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Nënkontrata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zbatimin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çdo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lloj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tjetër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qëllim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realizimin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Objektit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kësaj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përputhje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Nenin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35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Ligjit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nr, 125/2013 "Për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Partneritetin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Publik Privat".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Informacionin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Nënkontraktorin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përzgjedhur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kalon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Autoritetit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Kontraktor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sipas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pikës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10.2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sipërcituar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  </w:t>
            </w:r>
          </w:p>
          <w:p w14:paraId="066B8B7A" w14:textId="77777777" w:rsidR="00EF3946" w:rsidRPr="00AF6FE4" w:rsidRDefault="00EF3946" w:rsidP="00EF3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E495E6" w14:textId="66D26909" w:rsidR="00B04DDF" w:rsidRPr="00AF6FE4" w:rsidRDefault="00EF3946" w:rsidP="00EF3946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sipër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ju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informojmë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Koncesionare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përcjellë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pranë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Ministrisë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Infrastrukturës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Energjisë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asnjë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ndonjë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nënkontraktimi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nënkontraktori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përzgjedhur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</w:tcPr>
          <w:p w14:paraId="64576FFE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09706281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3D7740DC" w14:textId="77777777" w:rsidTr="00B04DDF">
        <w:trPr>
          <w:trHeight w:val="295"/>
        </w:trPr>
        <w:tc>
          <w:tcPr>
            <w:tcW w:w="1075" w:type="dxa"/>
          </w:tcPr>
          <w:p w14:paraId="38F65916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</w:tcPr>
          <w:p w14:paraId="5DC46A58" w14:textId="01CAE5E7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387" w:type="dxa"/>
          </w:tcPr>
          <w:p w14:paraId="5330AB80" w14:textId="49D996CA" w:rsidR="00B04DDF" w:rsidRPr="00AF6FE4" w:rsidRDefault="00EF3946" w:rsidP="00EF3946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rkes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nien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listën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shoqërive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transportit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r w:rsidRPr="00AF6FE4">
              <w:rPr>
                <w:rFonts w:ascii="Times New Roman" w:hAnsi="Times New Roman" w:cs="Times New Roman"/>
              </w:rPr>
              <w:lastRenderedPageBreak/>
              <w:t xml:space="preserve">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udhëtarëve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licesuar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për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qarkun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Dibër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linjat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përkatëse</w:t>
            </w:r>
            <w:proofErr w:type="spellEnd"/>
          </w:p>
        </w:tc>
        <w:tc>
          <w:tcPr>
            <w:tcW w:w="1392" w:type="dxa"/>
          </w:tcPr>
          <w:p w14:paraId="0D303F2B" w14:textId="222226F8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lastRenderedPageBreak/>
              <w:t>01.06.2023</w:t>
            </w:r>
          </w:p>
        </w:tc>
        <w:tc>
          <w:tcPr>
            <w:tcW w:w="3402" w:type="dxa"/>
          </w:tcPr>
          <w:p w14:paraId="505A98C7" w14:textId="4CCB9D36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DPSHTRR</w:t>
            </w:r>
          </w:p>
        </w:tc>
        <w:tc>
          <w:tcPr>
            <w:tcW w:w="1279" w:type="dxa"/>
          </w:tcPr>
          <w:p w14:paraId="3EA3F511" w14:textId="1DA83DD4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32FD60CC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7CECB62B" w14:textId="77777777" w:rsidTr="00B04DDF">
        <w:trPr>
          <w:trHeight w:val="295"/>
        </w:trPr>
        <w:tc>
          <w:tcPr>
            <w:tcW w:w="1075" w:type="dxa"/>
          </w:tcPr>
          <w:p w14:paraId="23000E17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14:paraId="54295DD9" w14:textId="13C55DC2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2387" w:type="dxa"/>
          </w:tcPr>
          <w:p w14:paraId="52023156" w14:textId="5469D868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rkes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</w:t>
            </w:r>
            <w:r w:rsidRPr="00AF6FE4">
              <w:rPr>
                <w:rFonts w:ascii="Times New Roman" w:hAnsi="Times New Roman" w:cs="Times New Roman"/>
              </w:rPr>
              <w:t>roblematiken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DD1B56" w:rsidRPr="00AF6FE4">
              <w:rPr>
                <w:rFonts w:ascii="Times New Roman" w:hAnsi="Times New Roman" w:cs="Times New Roman"/>
              </w:rPr>
              <w:t>shoq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="00DD1B56" w:rsidRPr="00AF6FE4">
              <w:rPr>
                <w:rFonts w:ascii="Times New Roman" w:hAnsi="Times New Roman" w:cs="Times New Roman"/>
              </w:rPr>
              <w:t>ris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="00DD1B56" w:rsidRPr="00AF6FE4">
              <w:rPr>
                <w:rFonts w:ascii="Times New Roman" w:hAnsi="Times New Roman" w:cs="Times New Roman"/>
              </w:rPr>
              <w:t xml:space="preserve"> X</w:t>
            </w:r>
            <w:r w:rsidRPr="00AF6FE4">
              <w:rPr>
                <w:rFonts w:ascii="Times New Roman" w:hAnsi="Times New Roman" w:cs="Times New Roman"/>
              </w:rPr>
              <w:t xml:space="preserve">  se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ciles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eshte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shkeputur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aksesi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llogarine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ealbania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shoqerise</w:t>
            </w:r>
            <w:proofErr w:type="spellEnd"/>
          </w:p>
        </w:tc>
        <w:tc>
          <w:tcPr>
            <w:tcW w:w="1392" w:type="dxa"/>
          </w:tcPr>
          <w:p w14:paraId="392B9279" w14:textId="031B7447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3402" w:type="dxa"/>
          </w:tcPr>
          <w:p w14:paraId="579F0AD1" w14:textId="48DE89D8" w:rsidR="00B04DDF" w:rsidRPr="00AF6FE4" w:rsidRDefault="00EF3946" w:rsidP="00EA7162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Deleguar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AKSH-it</w:t>
            </w:r>
          </w:p>
        </w:tc>
        <w:tc>
          <w:tcPr>
            <w:tcW w:w="1279" w:type="dxa"/>
          </w:tcPr>
          <w:p w14:paraId="0B6ECC1F" w14:textId="18526812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EF3946" w:rsidRPr="00AF6FE4">
              <w:rPr>
                <w:rFonts w:ascii="Times New Roman" w:hAnsi="Times New Roman" w:cs="Times New Roman"/>
              </w:rPr>
              <w:t>deleguar</w:t>
            </w:r>
            <w:proofErr w:type="spellEnd"/>
          </w:p>
        </w:tc>
        <w:tc>
          <w:tcPr>
            <w:tcW w:w="1170" w:type="dxa"/>
          </w:tcPr>
          <w:p w14:paraId="34996CB9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27C84524" w14:textId="77777777" w:rsidTr="00661802">
        <w:trPr>
          <w:trHeight w:val="51"/>
        </w:trPr>
        <w:tc>
          <w:tcPr>
            <w:tcW w:w="1075" w:type="dxa"/>
          </w:tcPr>
          <w:p w14:paraId="20157BF8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14:paraId="7341A5BE" w14:textId="5A9ECE4A" w:rsidR="00B04DDF" w:rsidRPr="00AF6FE4" w:rsidRDefault="00D94263" w:rsidP="002A6E85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2387" w:type="dxa"/>
          </w:tcPr>
          <w:p w14:paraId="38806342" w14:textId="028DFB13" w:rsidR="00B04DDF" w:rsidRPr="00AF6FE4" w:rsidRDefault="00DD1B56" w:rsidP="002A6E85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</w:t>
            </w:r>
            <w:r w:rsidRPr="00AF6FE4">
              <w:rPr>
                <w:rFonts w:ascii="Times New Roman" w:hAnsi="Times New Roman" w:cs="Times New Roman"/>
              </w:rPr>
              <w:t>ërkesë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re për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kontratën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nënshkruar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subjektin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“AGE KUÇ”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shpk</w:t>
            </w:r>
            <w:proofErr w:type="spellEnd"/>
            <w:r w:rsidRPr="00AF6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14:paraId="306CB0EC" w14:textId="77776AC2" w:rsidR="00B04DDF" w:rsidRPr="00AF6FE4" w:rsidRDefault="00EF3946" w:rsidP="002A6E85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3402" w:type="dxa"/>
          </w:tcPr>
          <w:p w14:paraId="54CC0E52" w14:textId="1814CBDF" w:rsidR="00B04DDF" w:rsidRPr="00AF6FE4" w:rsidRDefault="00DD1B56" w:rsidP="005B1ED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B</w:t>
            </w:r>
            <w:r w:rsidRPr="00AF6FE4">
              <w:rPr>
                <w:rFonts w:ascii="Times New Roman" w:hAnsi="Times New Roman" w:cs="Times New Roman"/>
              </w:rPr>
              <w:t>ashkelidhur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sht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vendos</w:t>
            </w:r>
            <w:r w:rsidRPr="00AF6FE4">
              <w:rPr>
                <w:rFonts w:ascii="Times New Roman" w:hAnsi="Times New Roman" w:cs="Times New Roman"/>
              </w:rPr>
              <w:t>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kopje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kontrates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"Per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ndertimin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shfrytezimin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administrimin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hidrocentralit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F6FE4">
              <w:rPr>
                <w:rFonts w:ascii="Times New Roman" w:hAnsi="Times New Roman" w:cs="Times New Roman"/>
              </w:rPr>
              <w:t>Kuc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"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kapacitet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prodhues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1.930 M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, ne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rrjedhen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siperme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pellgut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ujembledhes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lumit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Shushices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ne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varesi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fshatit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Kuc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Bashkia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Himare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Qarku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Vlore"</w:t>
            </w:r>
          </w:p>
        </w:tc>
        <w:tc>
          <w:tcPr>
            <w:tcW w:w="1279" w:type="dxa"/>
          </w:tcPr>
          <w:p w14:paraId="334E4FA8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5E52C123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64124D69" w14:textId="77777777" w:rsidTr="00B04DDF">
        <w:trPr>
          <w:trHeight w:val="295"/>
        </w:trPr>
        <w:tc>
          <w:tcPr>
            <w:tcW w:w="1075" w:type="dxa"/>
          </w:tcPr>
          <w:p w14:paraId="49113F5C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14:paraId="35B878A0" w14:textId="13CE3FDC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27.05.2023</w:t>
            </w:r>
          </w:p>
        </w:tc>
        <w:tc>
          <w:tcPr>
            <w:tcW w:w="2387" w:type="dxa"/>
          </w:tcPr>
          <w:p w14:paraId="00F8618E" w14:textId="706F501E" w:rsidR="00B04DDF" w:rsidRPr="00AF6FE4" w:rsidRDefault="00DD1B56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mbi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>rfundimin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punimeve</w:t>
            </w:r>
            <w:proofErr w:type="spellEnd"/>
            <w:r w:rsidRPr="00AF6FE4">
              <w:t xml:space="preserve"> </w:t>
            </w:r>
            <w:r w:rsidRPr="00AF6FE4">
              <w:rPr>
                <w:rFonts w:ascii="Times New Roman" w:hAnsi="Times New Roman" w:cs="Times New Roman"/>
              </w:rPr>
              <w:t>p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Parkun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Fotovoltaik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</w:t>
            </w:r>
            <w:r w:rsidR="00AF6FE4"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Karavastas</w:t>
            </w:r>
            <w:r w:rsidR="00AF6FE4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53C32661" w14:textId="23B258C2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3402" w:type="dxa"/>
          </w:tcPr>
          <w:p w14:paraId="00A42E03" w14:textId="16CAE720" w:rsidR="00B04DDF" w:rsidRPr="00AF6FE4" w:rsidRDefault="00DD1B56" w:rsidP="00DB34FC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Lidhur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afatet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synuara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operimit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tregtar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parashikohet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jete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muaji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Tetor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2023.</w:t>
            </w:r>
          </w:p>
        </w:tc>
        <w:tc>
          <w:tcPr>
            <w:tcW w:w="1279" w:type="dxa"/>
          </w:tcPr>
          <w:p w14:paraId="3585CEB4" w14:textId="4F6A147D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957B046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396A6A3E" w14:textId="77777777" w:rsidTr="00B04DDF">
        <w:trPr>
          <w:trHeight w:val="295"/>
        </w:trPr>
        <w:tc>
          <w:tcPr>
            <w:tcW w:w="1075" w:type="dxa"/>
          </w:tcPr>
          <w:p w14:paraId="2D30A923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3ED55E16" w14:textId="31A1631C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387" w:type="dxa"/>
          </w:tcPr>
          <w:p w14:paraId="1A873894" w14:textId="5E2E5E44" w:rsidR="00B04DDF" w:rsidRPr="00AF6FE4" w:rsidRDefault="00AF6FE4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lidhje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projektin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ë</w:t>
            </w:r>
            <w:r w:rsidRPr="00AF6FE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tunelin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Llogaras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92" w:type="dxa"/>
          </w:tcPr>
          <w:p w14:paraId="50923D49" w14:textId="5AFBB5F2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3402" w:type="dxa"/>
          </w:tcPr>
          <w:p w14:paraId="086D7A99" w14:textId="77777777" w:rsidR="00AF6FE4" w:rsidRPr="00AF6FE4" w:rsidRDefault="00AF6FE4" w:rsidP="00AF6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“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Tunelit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Llogarasë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seksionin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rrugor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Orikum-Himarë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pjesë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Autostradës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SH8 (</w:t>
            </w:r>
            <w:proofErr w:type="spellStart"/>
            <w:r w:rsidRPr="00AF6FE4">
              <w:rPr>
                <w:rFonts w:ascii="Times New Roman" w:hAnsi="Times New Roman" w:cs="Times New Roman"/>
              </w:rPr>
              <w:t>Vlorë-Sarandë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ndarë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lote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 </w:t>
            </w:r>
          </w:p>
          <w:p w14:paraId="6B04E99D" w14:textId="77777777" w:rsidR="00AF6FE4" w:rsidRPr="00AF6FE4" w:rsidRDefault="00AF6FE4" w:rsidP="00AF6F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83286B" w14:textId="6E7A4A50" w:rsidR="00AF6FE4" w:rsidRPr="00AF6FE4" w:rsidRDefault="00AF6FE4" w:rsidP="00AF6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Punimet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segment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kanë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filluar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më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datë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15.11.2021. 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Objekti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proces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ndërtimi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vijojnë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normalisht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. </w:t>
            </w:r>
          </w:p>
          <w:p w14:paraId="60B2586D" w14:textId="77777777" w:rsidR="00AF6FE4" w:rsidRPr="00AF6FE4" w:rsidRDefault="00AF6FE4" w:rsidP="00AF6F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460A37" w14:textId="3BD6B0FD" w:rsidR="00B04DDF" w:rsidRPr="00AF6FE4" w:rsidRDefault="00AF6FE4" w:rsidP="00AF6FE4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Kontraktori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punimeve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këtij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objekti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është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bashkimi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i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Operatorëve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FE4">
              <w:rPr>
                <w:rFonts w:ascii="Times New Roman" w:hAnsi="Times New Roman" w:cs="Times New Roman"/>
              </w:rPr>
              <w:t>Ekonomik</w:t>
            </w:r>
            <w:proofErr w:type="spellEnd"/>
            <w:r w:rsidRPr="00AF6FE4">
              <w:rPr>
                <w:rFonts w:ascii="Times New Roman" w:hAnsi="Times New Roman" w:cs="Times New Roman"/>
              </w:rPr>
              <w:t>: “INTEKAR YAPI TURIZM ELEKTRIK INSAAT SANAYI VE TICARET LIMITED   SIRKETI  dhe ASL INSAAT TAAHHUT VE SINAYI TICARET LIMITED SIRKETI” .</w:t>
            </w:r>
          </w:p>
        </w:tc>
        <w:tc>
          <w:tcPr>
            <w:tcW w:w="1279" w:type="dxa"/>
          </w:tcPr>
          <w:p w14:paraId="3B029AA6" w14:textId="6174B59B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6DF3B4C2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  <w:tr w:rsidR="00B04DDF" w:rsidRPr="00AF6FE4" w14:paraId="3813B9B5" w14:textId="77777777" w:rsidTr="00B04DDF">
        <w:trPr>
          <w:trHeight w:val="295"/>
        </w:trPr>
        <w:tc>
          <w:tcPr>
            <w:tcW w:w="1075" w:type="dxa"/>
          </w:tcPr>
          <w:p w14:paraId="427A986D" w14:textId="77777777" w:rsidR="00B04DDF" w:rsidRPr="00AF6FE4" w:rsidRDefault="00B04DDF" w:rsidP="009C6077">
            <w:pPr>
              <w:jc w:val="center"/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</w:tcPr>
          <w:p w14:paraId="74366782" w14:textId="3E5B547D" w:rsidR="00B04DDF" w:rsidRPr="00AF6FE4" w:rsidRDefault="00D94263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10.06.2023</w:t>
            </w:r>
          </w:p>
        </w:tc>
        <w:tc>
          <w:tcPr>
            <w:tcW w:w="2387" w:type="dxa"/>
          </w:tcPr>
          <w:p w14:paraId="662DE53A" w14:textId="1ABA4C98" w:rsidR="00B04DDF" w:rsidRPr="00AF6FE4" w:rsidRDefault="00AF6FE4" w:rsidP="009C60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HEC-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territory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pika e </w:t>
            </w:r>
            <w:proofErr w:type="spellStart"/>
            <w:r>
              <w:rPr>
                <w:rFonts w:ascii="Times New Roman" w:hAnsi="Times New Roman" w:cs="Times New Roman"/>
              </w:rPr>
              <w:t>mundshme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ndërtimit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digës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Skavicës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Kukës</w:t>
            </w:r>
            <w:proofErr w:type="spellEnd"/>
          </w:p>
        </w:tc>
        <w:tc>
          <w:tcPr>
            <w:tcW w:w="1392" w:type="dxa"/>
          </w:tcPr>
          <w:p w14:paraId="09BFDDC8" w14:textId="1841AAAE" w:rsidR="00B04DDF" w:rsidRPr="00AF6FE4" w:rsidRDefault="00EF3946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3402" w:type="dxa"/>
          </w:tcPr>
          <w:p w14:paraId="20ABF0DD" w14:textId="7A6ECC86" w:rsidR="00B04DDF" w:rsidRPr="00AF6FE4" w:rsidRDefault="00AF6FE4" w:rsidP="000305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koncesioneve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MIE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cilësinë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Autoritetit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Kontraktues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nënshkruar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38 </w:t>
            </w:r>
            <w:proofErr w:type="spellStart"/>
            <w:r>
              <w:rPr>
                <w:rFonts w:ascii="Times New Roman" w:hAnsi="Times New Roman" w:cs="Times New Roman"/>
              </w:rPr>
              <w:t>kontrata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koncesionare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shoqëritë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koncesionare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>
              <w:rPr>
                <w:rFonts w:ascii="Times New Roman" w:hAnsi="Times New Roman" w:cs="Times New Roman"/>
              </w:rPr>
              <w:t>qëlime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vecanta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për </w:t>
            </w:r>
            <w:proofErr w:type="spellStart"/>
            <w:r>
              <w:rPr>
                <w:rFonts w:ascii="Times New Roman" w:hAnsi="Times New Roman" w:cs="Times New Roman"/>
              </w:rPr>
              <w:t>ndërtimin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HEC-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qark</w:t>
            </w:r>
            <w:proofErr w:type="spellEnd"/>
            <w:r>
              <w:rPr>
                <w:rFonts w:ascii="Times New Roman" w:hAnsi="Times New Roman" w:cs="Times New Roman"/>
              </w:rPr>
              <w:t xml:space="preserve">. Kopje të </w:t>
            </w:r>
            <w:proofErr w:type="spellStart"/>
            <w:r>
              <w:rPr>
                <w:rFonts w:ascii="Times New Roman" w:hAnsi="Times New Roman" w:cs="Times New Roman"/>
              </w:rPr>
              <w:t>kontratave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koncesionit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faqen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Agjencisë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Koncesioneve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Atrako</w:t>
            </w:r>
            <w:proofErr w:type="spellEnd"/>
            <w:r>
              <w:rPr>
                <w:rFonts w:ascii="Times New Roman" w:hAnsi="Times New Roman" w:cs="Times New Roman"/>
              </w:rPr>
              <w:t>) http://www.atrako.gov.al</w:t>
            </w:r>
          </w:p>
        </w:tc>
        <w:tc>
          <w:tcPr>
            <w:tcW w:w="1279" w:type="dxa"/>
          </w:tcPr>
          <w:p w14:paraId="7F441264" w14:textId="59B95945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r w:rsidRPr="00AF6FE4"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 w:rsidRPr="00AF6FE4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170" w:type="dxa"/>
          </w:tcPr>
          <w:p w14:paraId="71828ACC" w14:textId="77777777" w:rsidR="00B04DDF" w:rsidRPr="00AF6FE4" w:rsidRDefault="00B04DDF" w:rsidP="009C6077">
            <w:pPr>
              <w:rPr>
                <w:rFonts w:ascii="Times New Roman" w:hAnsi="Times New Roman" w:cs="Times New Roman"/>
              </w:rPr>
            </w:pPr>
            <w:proofErr w:type="spellStart"/>
            <w:r w:rsidRPr="00AF6FE4">
              <w:rPr>
                <w:rFonts w:ascii="Times New Roman" w:hAnsi="Times New Roman" w:cs="Times New Roman"/>
              </w:rPr>
              <w:t>Nuk</w:t>
            </w:r>
            <w:proofErr w:type="spellEnd"/>
            <w:r w:rsidRPr="00AF6FE4">
              <w:rPr>
                <w:rFonts w:ascii="Times New Roman" w:hAnsi="Times New Roman" w:cs="Times New Roman"/>
              </w:rPr>
              <w:t xml:space="preserve"> ka</w:t>
            </w:r>
          </w:p>
        </w:tc>
      </w:tr>
    </w:tbl>
    <w:p w14:paraId="1AF3C230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146D7B50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472077AA" w14:textId="77777777" w:rsidR="00C478F9" w:rsidRPr="009C6077" w:rsidRDefault="00C478F9" w:rsidP="00C478F9">
      <w:pPr>
        <w:rPr>
          <w:rFonts w:ascii="Times New Roman" w:hAnsi="Times New Roman" w:cs="Times New Roman"/>
        </w:rPr>
      </w:pPr>
    </w:p>
    <w:p w14:paraId="439B9929" w14:textId="77777777" w:rsidR="009C6077" w:rsidRPr="009C6077" w:rsidRDefault="009C6077" w:rsidP="009C6077">
      <w:pPr>
        <w:rPr>
          <w:rFonts w:ascii="Times New Roman" w:hAnsi="Times New Roman" w:cs="Times New Roman"/>
        </w:rPr>
      </w:pPr>
    </w:p>
    <w:p w14:paraId="388C1C37" w14:textId="77777777" w:rsidR="009C6077" w:rsidRPr="009C6077" w:rsidRDefault="009C6077" w:rsidP="009C6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234C49" w14:textId="77777777" w:rsidR="009C6077" w:rsidRPr="00966191" w:rsidRDefault="009C6077">
      <w:pPr>
        <w:rPr>
          <w:rFonts w:ascii="Times New Roman" w:hAnsi="Times New Roman" w:cs="Times New Roman"/>
        </w:rPr>
      </w:pPr>
    </w:p>
    <w:p w14:paraId="4F327259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5D59947A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50A1E57C" w14:textId="77777777" w:rsidR="00186F8C" w:rsidRPr="009323DF" w:rsidRDefault="00186F8C" w:rsidP="00186F8C">
      <w:pPr>
        <w:rPr>
          <w:rFonts w:ascii="Times New Roman" w:hAnsi="Times New Roman" w:cs="Times New Roman"/>
        </w:rPr>
      </w:pPr>
    </w:p>
    <w:p w14:paraId="6DEDA5BA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50FBCF0C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6742F093" w14:textId="77777777" w:rsidR="00BD3FA8" w:rsidRPr="009323DF" w:rsidRDefault="00BD3FA8" w:rsidP="00BD3FA8">
      <w:pPr>
        <w:rPr>
          <w:rFonts w:ascii="Times New Roman" w:hAnsi="Times New Roman" w:cs="Times New Roman"/>
        </w:rPr>
      </w:pPr>
    </w:p>
    <w:p w14:paraId="3682D3C4" w14:textId="77777777" w:rsidR="00BD3FA8" w:rsidRDefault="00BD3FA8" w:rsidP="00BD3FA8"/>
    <w:p w14:paraId="5402DCBF" w14:textId="77777777" w:rsidR="00BD3FA8" w:rsidRDefault="00BD3FA8" w:rsidP="00BD3FA8"/>
    <w:p w14:paraId="56996152" w14:textId="77777777"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B45E29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0022" w14:textId="77777777" w:rsidR="006D530D" w:rsidRDefault="006D530D" w:rsidP="00C417B2">
      <w:pPr>
        <w:spacing w:after="0" w:line="240" w:lineRule="auto"/>
      </w:pPr>
      <w:r>
        <w:separator/>
      </w:r>
    </w:p>
  </w:endnote>
  <w:endnote w:type="continuationSeparator" w:id="0">
    <w:p w14:paraId="0023DC79" w14:textId="77777777" w:rsidR="006D530D" w:rsidRDefault="006D530D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16AD" w14:textId="77777777" w:rsidR="006D530D" w:rsidRDefault="006D530D" w:rsidP="00C417B2">
      <w:pPr>
        <w:spacing w:after="0" w:line="240" w:lineRule="auto"/>
      </w:pPr>
      <w:r>
        <w:separator/>
      </w:r>
    </w:p>
  </w:footnote>
  <w:footnote w:type="continuationSeparator" w:id="0">
    <w:p w14:paraId="79F8EB81" w14:textId="77777777" w:rsidR="006D530D" w:rsidRDefault="006D530D" w:rsidP="00C4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374"/>
    <w:multiLevelType w:val="multilevel"/>
    <w:tmpl w:val="47BE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218DE"/>
    <w:multiLevelType w:val="multilevel"/>
    <w:tmpl w:val="487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383424">
    <w:abstractNumId w:val="0"/>
  </w:num>
  <w:num w:numId="2" w16cid:durableId="83407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F7"/>
    <w:rsid w:val="00007B55"/>
    <w:rsid w:val="0003052E"/>
    <w:rsid w:val="000548CD"/>
    <w:rsid w:val="00083112"/>
    <w:rsid w:val="00083F0B"/>
    <w:rsid w:val="000972CB"/>
    <w:rsid w:val="000A6686"/>
    <w:rsid w:val="000B4AA8"/>
    <w:rsid w:val="000C47DC"/>
    <w:rsid w:val="000D2F6F"/>
    <w:rsid w:val="000D6E7A"/>
    <w:rsid w:val="000E0539"/>
    <w:rsid w:val="000E4083"/>
    <w:rsid w:val="000E69D2"/>
    <w:rsid w:val="001003E4"/>
    <w:rsid w:val="0010124B"/>
    <w:rsid w:val="00110DC5"/>
    <w:rsid w:val="00131457"/>
    <w:rsid w:val="00134F00"/>
    <w:rsid w:val="00146507"/>
    <w:rsid w:val="001543F3"/>
    <w:rsid w:val="0016587F"/>
    <w:rsid w:val="00176DFF"/>
    <w:rsid w:val="00186F8C"/>
    <w:rsid w:val="00194156"/>
    <w:rsid w:val="001C17F3"/>
    <w:rsid w:val="001C405D"/>
    <w:rsid w:val="001D3B66"/>
    <w:rsid w:val="001D44A7"/>
    <w:rsid w:val="001D47FE"/>
    <w:rsid w:val="001D71BD"/>
    <w:rsid w:val="001D7988"/>
    <w:rsid w:val="001F49DE"/>
    <w:rsid w:val="0020578A"/>
    <w:rsid w:val="0021270B"/>
    <w:rsid w:val="00217213"/>
    <w:rsid w:val="00224C86"/>
    <w:rsid w:val="00227DB2"/>
    <w:rsid w:val="00242957"/>
    <w:rsid w:val="00246DF7"/>
    <w:rsid w:val="00256DCC"/>
    <w:rsid w:val="002A6E85"/>
    <w:rsid w:val="002B678E"/>
    <w:rsid w:val="002E3A5F"/>
    <w:rsid w:val="002E5657"/>
    <w:rsid w:val="00302CEF"/>
    <w:rsid w:val="00302D5F"/>
    <w:rsid w:val="003066FA"/>
    <w:rsid w:val="003220FD"/>
    <w:rsid w:val="00342340"/>
    <w:rsid w:val="003451C1"/>
    <w:rsid w:val="003516F1"/>
    <w:rsid w:val="00357555"/>
    <w:rsid w:val="003841D0"/>
    <w:rsid w:val="003B229B"/>
    <w:rsid w:val="003C5B2B"/>
    <w:rsid w:val="003F73C5"/>
    <w:rsid w:val="003F78F7"/>
    <w:rsid w:val="00405307"/>
    <w:rsid w:val="00405854"/>
    <w:rsid w:val="004111D8"/>
    <w:rsid w:val="0042349A"/>
    <w:rsid w:val="0043268E"/>
    <w:rsid w:val="00435F5E"/>
    <w:rsid w:val="00437779"/>
    <w:rsid w:val="00440B88"/>
    <w:rsid w:val="0046148F"/>
    <w:rsid w:val="0048467B"/>
    <w:rsid w:val="004C0D49"/>
    <w:rsid w:val="004C1726"/>
    <w:rsid w:val="004D654B"/>
    <w:rsid w:val="004E3FA0"/>
    <w:rsid w:val="004F0B5B"/>
    <w:rsid w:val="0050474C"/>
    <w:rsid w:val="005165A2"/>
    <w:rsid w:val="00547865"/>
    <w:rsid w:val="005564B1"/>
    <w:rsid w:val="005642F5"/>
    <w:rsid w:val="00571B67"/>
    <w:rsid w:val="00581BEA"/>
    <w:rsid w:val="005B1ED7"/>
    <w:rsid w:val="005B44B6"/>
    <w:rsid w:val="005E227D"/>
    <w:rsid w:val="005E3F62"/>
    <w:rsid w:val="005E4EA0"/>
    <w:rsid w:val="00613B87"/>
    <w:rsid w:val="00644275"/>
    <w:rsid w:val="00661802"/>
    <w:rsid w:val="006739FB"/>
    <w:rsid w:val="006A22F6"/>
    <w:rsid w:val="006A3596"/>
    <w:rsid w:val="006A7B52"/>
    <w:rsid w:val="006C1A08"/>
    <w:rsid w:val="006C41FA"/>
    <w:rsid w:val="006D530D"/>
    <w:rsid w:val="006E0E40"/>
    <w:rsid w:val="00714F62"/>
    <w:rsid w:val="007162C7"/>
    <w:rsid w:val="007328B6"/>
    <w:rsid w:val="00762887"/>
    <w:rsid w:val="00794223"/>
    <w:rsid w:val="00797B56"/>
    <w:rsid w:val="007A2010"/>
    <w:rsid w:val="007A4BF9"/>
    <w:rsid w:val="007B036C"/>
    <w:rsid w:val="007B7618"/>
    <w:rsid w:val="007C0891"/>
    <w:rsid w:val="007E493B"/>
    <w:rsid w:val="007E72AD"/>
    <w:rsid w:val="007F1769"/>
    <w:rsid w:val="00805020"/>
    <w:rsid w:val="00821635"/>
    <w:rsid w:val="00822F90"/>
    <w:rsid w:val="00830BF9"/>
    <w:rsid w:val="00833DF0"/>
    <w:rsid w:val="00852A38"/>
    <w:rsid w:val="008560B1"/>
    <w:rsid w:val="00863F89"/>
    <w:rsid w:val="00883C68"/>
    <w:rsid w:val="008A4FBF"/>
    <w:rsid w:val="008A5182"/>
    <w:rsid w:val="008B42D1"/>
    <w:rsid w:val="008C5B9D"/>
    <w:rsid w:val="008C79E8"/>
    <w:rsid w:val="008C7ED5"/>
    <w:rsid w:val="008D106D"/>
    <w:rsid w:val="008D2A64"/>
    <w:rsid w:val="008D4765"/>
    <w:rsid w:val="008D6C0B"/>
    <w:rsid w:val="008E2CFE"/>
    <w:rsid w:val="008E3081"/>
    <w:rsid w:val="008F0B18"/>
    <w:rsid w:val="008F0B49"/>
    <w:rsid w:val="008F2E21"/>
    <w:rsid w:val="00901BE5"/>
    <w:rsid w:val="009323DF"/>
    <w:rsid w:val="009364FF"/>
    <w:rsid w:val="00953906"/>
    <w:rsid w:val="00955CB0"/>
    <w:rsid w:val="00966191"/>
    <w:rsid w:val="00967C8F"/>
    <w:rsid w:val="00981524"/>
    <w:rsid w:val="0099345C"/>
    <w:rsid w:val="009A132D"/>
    <w:rsid w:val="009A2DDA"/>
    <w:rsid w:val="009A58BB"/>
    <w:rsid w:val="009A6313"/>
    <w:rsid w:val="009C555D"/>
    <w:rsid w:val="009C6077"/>
    <w:rsid w:val="009C6FE6"/>
    <w:rsid w:val="009D1F3E"/>
    <w:rsid w:val="009E7325"/>
    <w:rsid w:val="00A05004"/>
    <w:rsid w:val="00A139F3"/>
    <w:rsid w:val="00A13B04"/>
    <w:rsid w:val="00A16421"/>
    <w:rsid w:val="00A3547D"/>
    <w:rsid w:val="00A36EBE"/>
    <w:rsid w:val="00A579DB"/>
    <w:rsid w:val="00A61E20"/>
    <w:rsid w:val="00A90187"/>
    <w:rsid w:val="00A964E0"/>
    <w:rsid w:val="00AA509B"/>
    <w:rsid w:val="00AA5385"/>
    <w:rsid w:val="00AB48BD"/>
    <w:rsid w:val="00AD03B4"/>
    <w:rsid w:val="00AD0926"/>
    <w:rsid w:val="00AD6633"/>
    <w:rsid w:val="00AD7050"/>
    <w:rsid w:val="00AF1ED1"/>
    <w:rsid w:val="00AF6FE4"/>
    <w:rsid w:val="00B01199"/>
    <w:rsid w:val="00B04DDF"/>
    <w:rsid w:val="00B12315"/>
    <w:rsid w:val="00B154B0"/>
    <w:rsid w:val="00B20AC3"/>
    <w:rsid w:val="00B20E93"/>
    <w:rsid w:val="00B30C05"/>
    <w:rsid w:val="00B34B97"/>
    <w:rsid w:val="00B45E29"/>
    <w:rsid w:val="00B66F14"/>
    <w:rsid w:val="00B77D15"/>
    <w:rsid w:val="00B8307B"/>
    <w:rsid w:val="00B952FE"/>
    <w:rsid w:val="00BA0611"/>
    <w:rsid w:val="00BA0C4F"/>
    <w:rsid w:val="00BA7704"/>
    <w:rsid w:val="00BB07CE"/>
    <w:rsid w:val="00BD3FA8"/>
    <w:rsid w:val="00BE1E92"/>
    <w:rsid w:val="00BF59D3"/>
    <w:rsid w:val="00BF6803"/>
    <w:rsid w:val="00C060DD"/>
    <w:rsid w:val="00C17D38"/>
    <w:rsid w:val="00C223FA"/>
    <w:rsid w:val="00C35726"/>
    <w:rsid w:val="00C417B2"/>
    <w:rsid w:val="00C461C6"/>
    <w:rsid w:val="00C478F9"/>
    <w:rsid w:val="00C5208D"/>
    <w:rsid w:val="00C7393C"/>
    <w:rsid w:val="00C75058"/>
    <w:rsid w:val="00C76AE7"/>
    <w:rsid w:val="00CB6255"/>
    <w:rsid w:val="00CD338B"/>
    <w:rsid w:val="00CD5790"/>
    <w:rsid w:val="00CF1D79"/>
    <w:rsid w:val="00CF7D58"/>
    <w:rsid w:val="00D1742C"/>
    <w:rsid w:val="00D41F11"/>
    <w:rsid w:val="00D63D1E"/>
    <w:rsid w:val="00D72CFF"/>
    <w:rsid w:val="00D85847"/>
    <w:rsid w:val="00D859E5"/>
    <w:rsid w:val="00D91D53"/>
    <w:rsid w:val="00D94255"/>
    <w:rsid w:val="00D94263"/>
    <w:rsid w:val="00DA2075"/>
    <w:rsid w:val="00DA5DC5"/>
    <w:rsid w:val="00DB34FC"/>
    <w:rsid w:val="00DC4344"/>
    <w:rsid w:val="00DD0F01"/>
    <w:rsid w:val="00DD1B56"/>
    <w:rsid w:val="00DD521D"/>
    <w:rsid w:val="00DE26E2"/>
    <w:rsid w:val="00DE6F97"/>
    <w:rsid w:val="00DF38D5"/>
    <w:rsid w:val="00DF6062"/>
    <w:rsid w:val="00DF7F65"/>
    <w:rsid w:val="00E013D8"/>
    <w:rsid w:val="00E047E9"/>
    <w:rsid w:val="00E07FF1"/>
    <w:rsid w:val="00E203D4"/>
    <w:rsid w:val="00E36927"/>
    <w:rsid w:val="00E430BC"/>
    <w:rsid w:val="00E4500C"/>
    <w:rsid w:val="00E6381C"/>
    <w:rsid w:val="00E826F0"/>
    <w:rsid w:val="00E90194"/>
    <w:rsid w:val="00EA7162"/>
    <w:rsid w:val="00EB7DC5"/>
    <w:rsid w:val="00EE73ED"/>
    <w:rsid w:val="00EF3946"/>
    <w:rsid w:val="00EF7A25"/>
    <w:rsid w:val="00F03464"/>
    <w:rsid w:val="00F1397A"/>
    <w:rsid w:val="00F14CA0"/>
    <w:rsid w:val="00F15076"/>
    <w:rsid w:val="00F20D0A"/>
    <w:rsid w:val="00F276FA"/>
    <w:rsid w:val="00F34EF1"/>
    <w:rsid w:val="00F40058"/>
    <w:rsid w:val="00F44F3B"/>
    <w:rsid w:val="00F613EA"/>
    <w:rsid w:val="00F61420"/>
    <w:rsid w:val="00F61ECE"/>
    <w:rsid w:val="00F93B88"/>
    <w:rsid w:val="00FA68B8"/>
    <w:rsid w:val="00FB25AD"/>
    <w:rsid w:val="00FB5DE0"/>
    <w:rsid w:val="00FC18D8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8FF6"/>
  <w15:docId w15:val="{6CD21DCA-3D2D-46BF-873B-2AFEB3E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00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73ED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9C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26"/>
  </w:style>
  <w:style w:type="paragraph" w:styleId="Footer">
    <w:name w:val="footer"/>
    <w:basedOn w:val="Normal"/>
    <w:link w:val="FooterChar"/>
    <w:uiPriority w:val="99"/>
    <w:unhideWhenUsed/>
    <w:rsid w:val="004C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26"/>
  </w:style>
  <w:style w:type="character" w:customStyle="1" w:styleId="s2">
    <w:name w:val="s2"/>
    <w:basedOn w:val="DefaultParagraphFont"/>
    <w:rsid w:val="008F0B49"/>
  </w:style>
  <w:style w:type="character" w:customStyle="1" w:styleId="mark24dexr28a">
    <w:name w:val="mark24dexr28a"/>
    <w:basedOn w:val="DefaultParagraphFont"/>
    <w:rsid w:val="006C41FA"/>
  </w:style>
  <w:style w:type="character" w:customStyle="1" w:styleId="mark8upimhq5j">
    <w:name w:val="mark8upimhq5j"/>
    <w:basedOn w:val="DefaultParagraphFont"/>
    <w:rsid w:val="006C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5DDC-37A5-4430-AB73-EE98FAB1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Enxhi Toska</cp:lastModifiedBy>
  <cp:revision>4</cp:revision>
  <dcterms:created xsi:type="dcterms:W3CDTF">2023-07-13T09:06:00Z</dcterms:created>
  <dcterms:modified xsi:type="dcterms:W3CDTF">2023-07-13T13:36:00Z</dcterms:modified>
</cp:coreProperties>
</file>